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34" w:rsidRDefault="003D0812" w:rsidP="007A457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28700" cy="628650"/>
            <wp:effectExtent l="0" t="0" r="0" b="0"/>
            <wp:docPr id="1" name="Image 1" descr="R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34" w:rsidRDefault="000E3434" w:rsidP="007A4579">
      <w:pPr>
        <w:jc w:val="center"/>
      </w:pPr>
    </w:p>
    <w:p w:rsidR="004166DF" w:rsidRPr="003D0812" w:rsidRDefault="004166DF" w:rsidP="007A4579">
      <w:pPr>
        <w:jc w:val="center"/>
        <w:rPr>
          <w:rFonts w:ascii="Comic Sans MS" w:hAnsi="Comic Sans MS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587D4B" w:rsidRPr="003D0812" w:rsidRDefault="003D0812" w:rsidP="007A4579">
      <w:pPr>
        <w:jc w:val="center"/>
        <w:rPr>
          <w:rFonts w:ascii="Comic Sans MS" w:hAnsi="Comic Sans MS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Comic Sans MS" w:hAnsi="Comic Sans MS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3360420" cy="717550"/>
                <wp:effectExtent l="9525" t="9525" r="11430" b="63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0420" cy="717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99pt;margin-top:0;width:264.6pt;height:5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" fillcolor="#36f"/>
            </w:pict>
          </mc:Fallback>
        </mc:AlternateContent>
      </w:r>
      <w:r w:rsidR="0027073A" w:rsidRPr="003D0812">
        <w:rPr>
          <w:rFonts w:ascii="Comic Sans MS" w:hAnsi="Comic Sans MS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Déclaration</w:t>
      </w:r>
    </w:p>
    <w:p w:rsidR="00401B03" w:rsidRPr="003D0812" w:rsidRDefault="00586720" w:rsidP="00586720">
      <w:pPr>
        <w:tabs>
          <w:tab w:val="center" w:pos="4536"/>
          <w:tab w:val="right" w:pos="9072"/>
        </w:tabs>
        <w:rPr>
          <w:rFonts w:ascii="Comic Sans MS" w:hAnsi="Comic Sans MS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3D0812">
        <w:rPr>
          <w:rFonts w:ascii="Comic Sans MS" w:hAnsi="Comic Sans MS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  <w:proofErr w:type="gramStart"/>
      <w:r w:rsidR="00AD06B6" w:rsidRPr="003D0812">
        <w:rPr>
          <w:rFonts w:ascii="Comic Sans MS" w:hAnsi="Comic Sans MS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d’hébergement</w:t>
      </w:r>
      <w:proofErr w:type="gramEnd"/>
      <w:r w:rsidR="00401B03" w:rsidRPr="003D0812">
        <w:rPr>
          <w:rFonts w:ascii="Comic Sans MS" w:hAnsi="Comic Sans MS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collectif</w:t>
      </w:r>
    </w:p>
    <w:p w:rsidR="00401B03" w:rsidRDefault="00401B03" w:rsidP="00586720">
      <w:pPr>
        <w:jc w:val="right"/>
        <w:rPr>
          <w:rFonts w:ascii="Arial" w:hAnsi="Arial" w:cs="Arial"/>
          <w:sz w:val="20"/>
          <w:szCs w:val="20"/>
        </w:rPr>
      </w:pPr>
    </w:p>
    <w:p w:rsidR="00E9012C" w:rsidRDefault="00844125">
      <w:pPr>
        <w:rPr>
          <w:rFonts w:ascii="Arial" w:hAnsi="Arial" w:cs="Arial"/>
          <w:b/>
          <w:i/>
          <w:sz w:val="20"/>
          <w:szCs w:val="20"/>
        </w:rPr>
      </w:pPr>
      <w:r w:rsidRPr="00FE2BD0">
        <w:rPr>
          <w:rFonts w:ascii="Arial" w:hAnsi="Arial" w:cs="Arial"/>
          <w:b/>
          <w:i/>
          <w:sz w:val="20"/>
          <w:szCs w:val="20"/>
        </w:rPr>
        <w:t>Notice sur les obligations de déclaration en matière d’hébergement collectif</w:t>
      </w:r>
      <w:r w:rsidR="00E9012C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844125" w:rsidRPr="00FE2BD0" w:rsidRDefault="00586720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(</w:t>
      </w:r>
      <w:proofErr w:type="gramStart"/>
      <w:r>
        <w:rPr>
          <w:rFonts w:ascii="Arial" w:hAnsi="Arial" w:cs="Arial"/>
          <w:i/>
          <w:sz w:val="18"/>
          <w:szCs w:val="18"/>
        </w:rPr>
        <w:t>loi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n° 73-548 du 27 juin 1973 relative à l’hébergement collectif</w:t>
      </w:r>
      <w:r w:rsidR="00E9012C" w:rsidRPr="00E9012C">
        <w:rPr>
          <w:rFonts w:ascii="Arial" w:hAnsi="Arial" w:cs="Arial"/>
          <w:i/>
          <w:sz w:val="18"/>
          <w:szCs w:val="18"/>
        </w:rPr>
        <w:t>)</w:t>
      </w:r>
      <w:r w:rsidR="00844125" w:rsidRPr="00FE2BD0">
        <w:rPr>
          <w:rFonts w:ascii="Arial" w:hAnsi="Arial" w:cs="Arial"/>
          <w:b/>
          <w:i/>
          <w:sz w:val="20"/>
          <w:szCs w:val="20"/>
        </w:rPr>
        <w:t> :</w:t>
      </w:r>
    </w:p>
    <w:p w:rsidR="007A4579" w:rsidRDefault="007A4579">
      <w:pPr>
        <w:rPr>
          <w:rFonts w:ascii="Arial" w:hAnsi="Arial" w:cs="Arial"/>
          <w:sz w:val="20"/>
          <w:szCs w:val="20"/>
        </w:rPr>
      </w:pPr>
    </w:p>
    <w:p w:rsidR="00491A8F" w:rsidRPr="0027073A" w:rsidRDefault="00586720" w:rsidP="00844125">
      <w:pPr>
        <w:pBdr>
          <w:bottom w:val="single" w:sz="4" w:space="1" w:color="auto"/>
        </w:pBdr>
        <w:rPr>
          <w:rFonts w:ascii="Comic Sans MS" w:hAnsi="Comic Sans MS" w:cs="Arial"/>
          <w:b/>
          <w:color w:val="0000FF"/>
          <w:sz w:val="22"/>
          <w:szCs w:val="22"/>
        </w:rPr>
      </w:pPr>
      <w:r>
        <w:rPr>
          <w:rFonts w:ascii="Comic Sans MS" w:hAnsi="Comic Sans MS" w:cs="Arial"/>
          <w:b/>
          <w:color w:val="0000FF"/>
          <w:sz w:val="22"/>
          <w:szCs w:val="22"/>
        </w:rPr>
        <w:t>Champ d’application</w:t>
      </w:r>
    </w:p>
    <w:p w:rsidR="00401B03" w:rsidRPr="00491A8F" w:rsidRDefault="00401B03" w:rsidP="00401B0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F6ED1" w:rsidRPr="005D31F9" w:rsidRDefault="005F6ED1" w:rsidP="005F6E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31F9">
        <w:rPr>
          <w:rFonts w:ascii="Arial" w:hAnsi="Arial" w:cs="Arial"/>
          <w:sz w:val="22"/>
          <w:szCs w:val="22"/>
        </w:rPr>
        <w:t xml:space="preserve">Toute personne physique ou morale qui, à quelque titre que ce soit, </w:t>
      </w:r>
      <w:r w:rsidR="00586720">
        <w:rPr>
          <w:rFonts w:ascii="Arial" w:hAnsi="Arial" w:cs="Arial"/>
          <w:sz w:val="22"/>
          <w:szCs w:val="22"/>
        </w:rPr>
        <w:t xml:space="preserve">et même en qualité de simple occupant, </w:t>
      </w:r>
      <w:r w:rsidRPr="005D31F9">
        <w:rPr>
          <w:rFonts w:ascii="Arial" w:hAnsi="Arial" w:cs="Arial"/>
          <w:sz w:val="22"/>
          <w:szCs w:val="22"/>
        </w:rPr>
        <w:t>affect</w:t>
      </w:r>
      <w:r w:rsidR="005D31F9">
        <w:rPr>
          <w:rFonts w:ascii="Arial" w:hAnsi="Arial" w:cs="Arial"/>
          <w:sz w:val="22"/>
          <w:szCs w:val="22"/>
        </w:rPr>
        <w:t>e</w:t>
      </w:r>
      <w:r w:rsidRPr="005D31F9">
        <w:rPr>
          <w:rFonts w:ascii="Arial" w:hAnsi="Arial" w:cs="Arial"/>
          <w:sz w:val="22"/>
          <w:szCs w:val="22"/>
        </w:rPr>
        <w:t xml:space="preserve"> un local quelconque à l’hébergement, gratuit ou non, est tenue d’en faire la déclaration au préfet, dès lors que cet hébergement </w:t>
      </w:r>
      <w:r w:rsidR="005B11AB">
        <w:rPr>
          <w:rFonts w:ascii="Arial" w:hAnsi="Arial" w:cs="Arial"/>
          <w:sz w:val="22"/>
          <w:szCs w:val="22"/>
        </w:rPr>
        <w:t>est</w:t>
      </w:r>
      <w:r w:rsidRPr="005D31F9">
        <w:rPr>
          <w:rFonts w:ascii="Arial" w:hAnsi="Arial" w:cs="Arial"/>
          <w:sz w:val="22"/>
          <w:szCs w:val="22"/>
        </w:rPr>
        <w:t xml:space="preserve"> organisé et fourni en vue d’une utilisation collective excédant le cadre familial.</w:t>
      </w:r>
      <w:r w:rsidR="005B11AB">
        <w:rPr>
          <w:rFonts w:ascii="Arial" w:hAnsi="Arial" w:cs="Arial"/>
          <w:sz w:val="22"/>
          <w:szCs w:val="22"/>
        </w:rPr>
        <w:t xml:space="preserve"> Elle concerne tout particulièrement les employeurs hébergeant des salariés.</w:t>
      </w:r>
    </w:p>
    <w:p w:rsidR="0023232C" w:rsidRDefault="0023232C" w:rsidP="002323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232C" w:rsidRDefault="0023232C" w:rsidP="002323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31F9">
        <w:rPr>
          <w:rFonts w:ascii="Arial" w:hAnsi="Arial" w:cs="Arial"/>
          <w:sz w:val="22"/>
          <w:szCs w:val="22"/>
        </w:rPr>
        <w:t>Les dispositions de la présente loi ne sont pas applicables aux formes d’hébergement collectif qui sont soumises à une obligation de déclaration ou d’agrément en vertu d’autres dispositions législatives ou réglementaires</w:t>
      </w:r>
      <w:r>
        <w:rPr>
          <w:rFonts w:ascii="Arial" w:hAnsi="Arial" w:cs="Arial"/>
          <w:sz w:val="22"/>
          <w:szCs w:val="22"/>
        </w:rPr>
        <w:t>.</w:t>
      </w:r>
    </w:p>
    <w:p w:rsidR="005F6ED1" w:rsidRDefault="005F6ED1" w:rsidP="00491A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ED1" w:rsidRDefault="003D0812" w:rsidP="002323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04925" cy="1257300"/>
            <wp:effectExtent l="0" t="0" r="0" b="0"/>
            <wp:docPr id="2" name="il_fi" descr="chambre-olerianne_1922x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chambre-olerianne_1922x14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32C">
        <w:rPr>
          <w:rFonts w:ascii="Arial" w:hAnsi="Arial" w:cs="Arial"/>
          <w:sz w:val="22"/>
          <w:szCs w:val="22"/>
        </w:rPr>
        <w:t xml:space="preserve"> </w:t>
      </w:r>
    </w:p>
    <w:p w:rsidR="00491A8F" w:rsidRPr="0027073A" w:rsidRDefault="00491A8F" w:rsidP="0084412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Comic Sans MS" w:hAnsi="Comic Sans MS" w:cs="Arial"/>
          <w:b/>
          <w:color w:val="0000FF"/>
          <w:sz w:val="22"/>
          <w:szCs w:val="22"/>
        </w:rPr>
      </w:pPr>
      <w:r w:rsidRPr="0027073A">
        <w:rPr>
          <w:rFonts w:ascii="Comic Sans MS" w:hAnsi="Comic Sans MS" w:cs="Arial"/>
          <w:b/>
          <w:color w:val="0000FF"/>
          <w:sz w:val="22"/>
          <w:szCs w:val="22"/>
        </w:rPr>
        <w:t>Formalités</w:t>
      </w:r>
    </w:p>
    <w:p w:rsidR="00491A8F" w:rsidRDefault="00491A8F" w:rsidP="005F6ED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26A37" w:rsidRDefault="00491A8F" w:rsidP="00226A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déclaration doit être établie sur</w:t>
      </w:r>
      <w:r w:rsidR="00226A37">
        <w:rPr>
          <w:rFonts w:ascii="Arial" w:hAnsi="Arial" w:cs="Arial"/>
          <w:sz w:val="22"/>
          <w:szCs w:val="22"/>
        </w:rPr>
        <w:t xml:space="preserve"> le formulaire </w:t>
      </w:r>
      <w:proofErr w:type="spellStart"/>
      <w:r w:rsidR="00226A37">
        <w:rPr>
          <w:rFonts w:ascii="Arial" w:hAnsi="Arial" w:cs="Arial"/>
          <w:sz w:val="22"/>
          <w:szCs w:val="22"/>
        </w:rPr>
        <w:t>Cerfa</w:t>
      </w:r>
      <w:proofErr w:type="spellEnd"/>
      <w:r w:rsidR="00226A37">
        <w:rPr>
          <w:rFonts w:ascii="Arial" w:hAnsi="Arial" w:cs="Arial"/>
          <w:sz w:val="22"/>
          <w:szCs w:val="22"/>
        </w:rPr>
        <w:t xml:space="preserve"> n° 61-2091 et être établie en double exemplaire.</w:t>
      </w:r>
      <w:r w:rsidR="00226A37" w:rsidRPr="00226A37">
        <w:rPr>
          <w:rFonts w:ascii="Arial" w:hAnsi="Arial" w:cs="Arial"/>
          <w:sz w:val="22"/>
          <w:szCs w:val="22"/>
        </w:rPr>
        <w:t xml:space="preserve"> </w:t>
      </w:r>
      <w:r w:rsidR="00226A37">
        <w:rPr>
          <w:rFonts w:ascii="Arial" w:hAnsi="Arial" w:cs="Arial"/>
          <w:sz w:val="22"/>
          <w:szCs w:val="22"/>
        </w:rPr>
        <w:t>Elle doit être déposée au plus tard le 30</w:t>
      </w:r>
      <w:r w:rsidR="00FE168C">
        <w:rPr>
          <w:rFonts w:ascii="Arial" w:hAnsi="Arial" w:cs="Arial"/>
          <w:sz w:val="22"/>
          <w:szCs w:val="22"/>
          <w:vertAlign w:val="superscript"/>
        </w:rPr>
        <w:t>ème</w:t>
      </w:r>
      <w:r w:rsidR="00226A37">
        <w:rPr>
          <w:rFonts w:ascii="Arial" w:hAnsi="Arial" w:cs="Arial"/>
          <w:sz w:val="22"/>
          <w:szCs w:val="22"/>
        </w:rPr>
        <w:t xml:space="preserve"> jour suivant l’affectation du local à l’hébergement collectif.</w:t>
      </w:r>
    </w:p>
    <w:p w:rsidR="00226A37" w:rsidRDefault="00226A37" w:rsidP="00226A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A7AE9" w:rsidRDefault="00226A37" w:rsidP="00226A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</w:t>
      </w:r>
      <w:r w:rsidR="005F6ED1" w:rsidRPr="005D31F9">
        <w:rPr>
          <w:rFonts w:ascii="Arial" w:hAnsi="Arial" w:cs="Arial"/>
          <w:sz w:val="22"/>
          <w:szCs w:val="22"/>
        </w:rPr>
        <w:t xml:space="preserve"> doit faire l’objet d’un renouvellement annuel.</w:t>
      </w:r>
      <w:r w:rsidR="00491A8F">
        <w:rPr>
          <w:rFonts w:ascii="Arial" w:hAnsi="Arial" w:cs="Arial"/>
          <w:sz w:val="22"/>
          <w:szCs w:val="22"/>
        </w:rPr>
        <w:t xml:space="preserve"> Le renouvellement doit être effectué dans les 30 jours précédant l’expiration de la période annuelle.</w:t>
      </w:r>
    </w:p>
    <w:p w:rsidR="00FE168C" w:rsidRDefault="00FE168C" w:rsidP="00226A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E168C" w:rsidRDefault="00FE168C" w:rsidP="00226A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S’il s’agit d’un hébergement ou local mobile ou transportable, une nouvelle déclaration doit être effectuée dans le délai de trente jours à chaque changement d’implantation.</w:t>
      </w:r>
    </w:p>
    <w:p w:rsidR="000E3434" w:rsidRDefault="000E3434" w:rsidP="00226A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125" w:rsidRPr="0027073A" w:rsidRDefault="00844125" w:rsidP="0084412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Comic Sans MS" w:hAnsi="Comic Sans MS" w:cs="Arial"/>
          <w:b/>
          <w:color w:val="0000FF"/>
          <w:sz w:val="22"/>
          <w:szCs w:val="22"/>
        </w:rPr>
      </w:pPr>
      <w:r w:rsidRPr="0027073A">
        <w:rPr>
          <w:rFonts w:ascii="Comic Sans MS" w:hAnsi="Comic Sans MS" w:cs="Arial"/>
          <w:b/>
          <w:color w:val="0000FF"/>
          <w:sz w:val="22"/>
          <w:szCs w:val="22"/>
        </w:rPr>
        <w:t xml:space="preserve">Autorité </w:t>
      </w:r>
      <w:r w:rsidR="005B11AB">
        <w:rPr>
          <w:rFonts w:ascii="Comic Sans MS" w:hAnsi="Comic Sans MS" w:cs="Arial"/>
          <w:b/>
          <w:color w:val="0000FF"/>
          <w:sz w:val="22"/>
          <w:szCs w:val="22"/>
        </w:rPr>
        <w:t xml:space="preserve">administrative </w:t>
      </w:r>
      <w:r w:rsidRPr="0027073A">
        <w:rPr>
          <w:rFonts w:ascii="Comic Sans MS" w:hAnsi="Comic Sans MS" w:cs="Arial"/>
          <w:b/>
          <w:color w:val="0000FF"/>
          <w:sz w:val="22"/>
          <w:szCs w:val="22"/>
        </w:rPr>
        <w:t>compétente</w:t>
      </w:r>
    </w:p>
    <w:p w:rsidR="00844125" w:rsidRDefault="00844125" w:rsidP="005F6E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125" w:rsidRDefault="00FE168C" w:rsidP="005F6E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préfète de</w:t>
      </w:r>
      <w:r w:rsidR="003F0ED2">
        <w:rPr>
          <w:rFonts w:ascii="Arial" w:hAnsi="Arial" w:cs="Arial"/>
          <w:sz w:val="22"/>
          <w:szCs w:val="22"/>
        </w:rPr>
        <w:t>s Hautes-Alpes</w:t>
      </w:r>
      <w:r w:rsidR="00844125">
        <w:rPr>
          <w:rFonts w:ascii="Arial" w:hAnsi="Arial" w:cs="Arial"/>
          <w:sz w:val="22"/>
          <w:szCs w:val="22"/>
        </w:rPr>
        <w:t xml:space="preserve"> a donné d</w:t>
      </w:r>
      <w:r w:rsidR="00184F6F">
        <w:rPr>
          <w:rFonts w:ascii="Arial" w:hAnsi="Arial" w:cs="Arial"/>
          <w:sz w:val="22"/>
          <w:szCs w:val="22"/>
        </w:rPr>
        <w:t>élégation au</w:t>
      </w:r>
      <w:r w:rsidR="00844125">
        <w:rPr>
          <w:rFonts w:ascii="Arial" w:hAnsi="Arial" w:cs="Arial"/>
          <w:sz w:val="22"/>
          <w:szCs w:val="22"/>
        </w:rPr>
        <w:t xml:space="preserve"> DIRECCTE</w:t>
      </w:r>
      <w:r w:rsidR="00184F6F">
        <w:rPr>
          <w:rFonts w:ascii="Arial" w:hAnsi="Arial" w:cs="Arial"/>
          <w:sz w:val="22"/>
          <w:szCs w:val="22"/>
        </w:rPr>
        <w:t xml:space="preserve"> </w:t>
      </w:r>
      <w:r w:rsidR="003F0ED2">
        <w:rPr>
          <w:rFonts w:ascii="Arial" w:hAnsi="Arial" w:cs="Arial"/>
          <w:sz w:val="22"/>
          <w:szCs w:val="22"/>
        </w:rPr>
        <w:t>PACA</w:t>
      </w:r>
      <w:r>
        <w:rPr>
          <w:rFonts w:ascii="Arial" w:hAnsi="Arial" w:cs="Arial"/>
          <w:sz w:val="22"/>
          <w:szCs w:val="22"/>
        </w:rPr>
        <w:t xml:space="preserve"> pour </w:t>
      </w:r>
      <w:r w:rsidR="000E3434">
        <w:rPr>
          <w:rFonts w:ascii="Arial" w:hAnsi="Arial" w:cs="Arial"/>
          <w:sz w:val="22"/>
          <w:szCs w:val="22"/>
        </w:rPr>
        <w:t>la délivrance des accusés réception d</w:t>
      </w:r>
      <w:r w:rsidR="00844125">
        <w:rPr>
          <w:rFonts w:ascii="Arial" w:hAnsi="Arial" w:cs="Arial"/>
          <w:sz w:val="22"/>
          <w:szCs w:val="22"/>
        </w:rPr>
        <w:t>es déclarations en m</w:t>
      </w:r>
      <w:r w:rsidR="00184F6F">
        <w:rPr>
          <w:rFonts w:ascii="Arial" w:hAnsi="Arial" w:cs="Arial"/>
          <w:sz w:val="22"/>
          <w:szCs w:val="22"/>
        </w:rPr>
        <w:t xml:space="preserve">atière d’hébergement collectif qui a subdélégué sa signature au </w:t>
      </w:r>
      <w:r w:rsidR="003F0ED2">
        <w:rPr>
          <w:rFonts w:ascii="Arial" w:hAnsi="Arial" w:cs="Arial"/>
          <w:sz w:val="22"/>
          <w:szCs w:val="22"/>
        </w:rPr>
        <w:t>responsable</w:t>
      </w:r>
      <w:r w:rsidR="00184F6F">
        <w:rPr>
          <w:rFonts w:ascii="Arial" w:hAnsi="Arial" w:cs="Arial"/>
          <w:sz w:val="22"/>
          <w:szCs w:val="22"/>
        </w:rPr>
        <w:t xml:space="preserve"> de l’Unité </w:t>
      </w:r>
      <w:r w:rsidR="003F0ED2">
        <w:rPr>
          <w:rFonts w:ascii="Arial" w:hAnsi="Arial" w:cs="Arial"/>
          <w:sz w:val="22"/>
          <w:szCs w:val="22"/>
        </w:rPr>
        <w:t>départementale des Hautes-Alpes.</w:t>
      </w:r>
    </w:p>
    <w:p w:rsidR="00844125" w:rsidRDefault="00844125" w:rsidP="005F6E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84F6F" w:rsidRDefault="00184F6F" w:rsidP="008441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44125" w:rsidRDefault="00844125" w:rsidP="008441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déclarations doivent être adressées </w:t>
      </w:r>
      <w:r w:rsidR="00184F6F">
        <w:rPr>
          <w:rFonts w:ascii="Arial" w:hAnsi="Arial" w:cs="Arial"/>
          <w:sz w:val="22"/>
          <w:szCs w:val="22"/>
        </w:rPr>
        <w:t>au</w:t>
      </w:r>
      <w:r>
        <w:rPr>
          <w:rFonts w:ascii="Arial" w:hAnsi="Arial" w:cs="Arial"/>
          <w:sz w:val="22"/>
          <w:szCs w:val="22"/>
        </w:rPr>
        <w:t> :</w:t>
      </w:r>
    </w:p>
    <w:p w:rsidR="00184F6F" w:rsidRDefault="00184F6F" w:rsidP="008441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844125" w:rsidRPr="00D71CF4" w:rsidRDefault="00844125" w:rsidP="003F0E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D71CF4">
        <w:rPr>
          <w:rFonts w:ascii="Arial" w:hAnsi="Arial" w:cs="Arial"/>
          <w:b/>
          <w:sz w:val="20"/>
          <w:szCs w:val="20"/>
        </w:rPr>
        <w:t>DIRECCTE</w:t>
      </w:r>
      <w:r w:rsidR="003F0ED2">
        <w:rPr>
          <w:rFonts w:ascii="Arial" w:hAnsi="Arial" w:cs="Arial"/>
          <w:b/>
          <w:sz w:val="20"/>
          <w:szCs w:val="20"/>
        </w:rPr>
        <w:t>PACA / Unité départementale des Hautes-Alpes</w:t>
      </w:r>
    </w:p>
    <w:p w:rsidR="004166DF" w:rsidRPr="004166DF" w:rsidRDefault="003F0ED2" w:rsidP="003F0ED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Cité administrative Desmichels-CS30129-05004 Gap CEDEX</w:t>
      </w:r>
    </w:p>
    <w:p w:rsidR="00491A8F" w:rsidRPr="0027073A" w:rsidRDefault="00491A8F" w:rsidP="0084412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Comic Sans MS" w:hAnsi="Comic Sans MS" w:cs="Arial"/>
          <w:b/>
          <w:color w:val="0000FF"/>
          <w:sz w:val="22"/>
          <w:szCs w:val="22"/>
        </w:rPr>
      </w:pPr>
      <w:r w:rsidRPr="0027073A">
        <w:rPr>
          <w:rFonts w:ascii="Comic Sans MS" w:hAnsi="Comic Sans MS" w:cs="Arial"/>
          <w:b/>
          <w:color w:val="0000FF"/>
          <w:sz w:val="22"/>
          <w:szCs w:val="22"/>
        </w:rPr>
        <w:t>Sanctions</w:t>
      </w:r>
    </w:p>
    <w:p w:rsidR="00491A8F" w:rsidRPr="00844125" w:rsidRDefault="00491A8F" w:rsidP="005F6ED1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</w:rPr>
      </w:pPr>
    </w:p>
    <w:p w:rsidR="00491A8F" w:rsidRPr="005D31F9" w:rsidRDefault="00491A8F" w:rsidP="005F6E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défaut de déclaration ou de renouvellement ou la production d’une déclaration ou d’un renouvellement incomplet, inexact ou tardif est passible d’une amende de 6.000 euros et d’une peine d’emprisonnement de 2 ans.</w:t>
      </w:r>
    </w:p>
    <w:p w:rsidR="00491A8F" w:rsidRPr="00844125" w:rsidRDefault="00491A8F" w:rsidP="00491A8F">
      <w:pPr>
        <w:rPr>
          <w:rFonts w:ascii="Arial" w:hAnsi="Arial" w:cs="Arial"/>
          <w:sz w:val="22"/>
          <w:szCs w:val="22"/>
        </w:rPr>
      </w:pPr>
    </w:p>
    <w:p w:rsidR="00491A8F" w:rsidRPr="0027073A" w:rsidRDefault="00844125" w:rsidP="00844125">
      <w:pPr>
        <w:pBdr>
          <w:bottom w:val="single" w:sz="4" w:space="1" w:color="auto"/>
        </w:pBdr>
        <w:rPr>
          <w:rFonts w:ascii="Comic Sans MS" w:hAnsi="Comic Sans MS" w:cs="Arial"/>
          <w:b/>
          <w:color w:val="0000FF"/>
          <w:sz w:val="22"/>
          <w:szCs w:val="22"/>
        </w:rPr>
      </w:pPr>
      <w:r w:rsidRPr="0027073A">
        <w:rPr>
          <w:rFonts w:ascii="Comic Sans MS" w:hAnsi="Comic Sans MS" w:cs="Arial"/>
          <w:b/>
          <w:color w:val="0000FF"/>
          <w:sz w:val="22"/>
          <w:szCs w:val="22"/>
        </w:rPr>
        <w:t>Formulaire CERFA</w:t>
      </w:r>
    </w:p>
    <w:p w:rsidR="003F0ED2" w:rsidRDefault="00A776F9" w:rsidP="005F6ED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peut être téléchargé</w:t>
      </w:r>
      <w:r w:rsidR="00844125" w:rsidRPr="00844125">
        <w:rPr>
          <w:rFonts w:ascii="Arial" w:hAnsi="Arial" w:cs="Arial"/>
          <w:sz w:val="22"/>
          <w:szCs w:val="22"/>
        </w:rPr>
        <w:t xml:space="preserve"> sur le site :</w:t>
      </w:r>
      <w:r w:rsidR="00866AF3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3F0ED2" w:rsidRPr="00E63C3D">
          <w:rPr>
            <w:rStyle w:val="Lienhypertexte"/>
            <w:rFonts w:ascii="Arial" w:hAnsi="Arial" w:cs="Arial"/>
            <w:b/>
            <w:sz w:val="22"/>
            <w:szCs w:val="22"/>
          </w:rPr>
          <w:t>http://paca.direccte.gouv.fr/Hautes-Alpes</w:t>
        </w:r>
      </w:hyperlink>
    </w:p>
    <w:p w:rsidR="00866AF3" w:rsidRPr="007427E4" w:rsidRDefault="0023232C" w:rsidP="005F6ED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866AF3" w:rsidRPr="007427E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30" w:rsidRDefault="00084F30">
      <w:r>
        <w:separator/>
      </w:r>
    </w:p>
  </w:endnote>
  <w:endnote w:type="continuationSeparator" w:id="0">
    <w:p w:rsidR="00084F30" w:rsidRDefault="0008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F3" w:rsidRPr="005D31F9" w:rsidRDefault="00866AF3">
    <w:pPr>
      <w:pStyle w:val="Pieddepage"/>
      <w:rPr>
        <w:sz w:val="18"/>
        <w:szCs w:val="18"/>
      </w:rPr>
    </w:pPr>
    <w:r w:rsidRPr="005D31F9">
      <w:rPr>
        <w:sz w:val="18"/>
        <w:szCs w:val="18"/>
      </w:rPr>
      <w:tab/>
    </w:r>
    <w:r w:rsidRPr="005D31F9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30" w:rsidRDefault="00084F30">
      <w:r>
        <w:separator/>
      </w:r>
    </w:p>
  </w:footnote>
  <w:footnote w:type="continuationSeparator" w:id="0">
    <w:p w:rsidR="00084F30" w:rsidRDefault="0008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00711E"/>
    <w:multiLevelType w:val="singleLevel"/>
    <w:tmpl w:val="8B0C63B9"/>
    <w:lvl w:ilvl="0">
      <w:start w:val="1"/>
      <w:numFmt w:val="bullet"/>
      <w:lvlText w:val="·"/>
      <w:lvlJc w:val="left"/>
      <w:rPr>
        <w:rFonts w:ascii="Times New Roman" w:hAnsi="Times New Roman" w:cs="Times New Roman"/>
      </w:rPr>
    </w:lvl>
  </w:abstractNum>
  <w:abstractNum w:abstractNumId="1">
    <w:nsid w:val="8206500A"/>
    <w:multiLevelType w:val="singleLevel"/>
    <w:tmpl w:val="462D1819"/>
    <w:lvl w:ilvl="0">
      <w:start w:val="1"/>
      <w:numFmt w:val="bullet"/>
      <w:lvlText w:val="·"/>
      <w:lvlJc w:val="left"/>
      <w:rPr>
        <w:rFonts w:ascii="Times New Roman" w:hAnsi="Times New Roman" w:cs="Times New Roman"/>
      </w:rPr>
    </w:lvl>
  </w:abstractNum>
  <w:abstractNum w:abstractNumId="2">
    <w:nsid w:val="820C2EF7"/>
    <w:multiLevelType w:val="singleLevel"/>
    <w:tmpl w:val="014DCC79"/>
    <w:lvl w:ilvl="0">
      <w:start w:val="1"/>
      <w:numFmt w:val="bullet"/>
      <w:lvlText w:val="·"/>
      <w:lvlJc w:val="left"/>
      <w:rPr>
        <w:rFonts w:ascii="Times New Roman" w:hAnsi="Times New Roman" w:cs="Times New Roman"/>
      </w:rPr>
    </w:lvl>
  </w:abstractNum>
  <w:abstractNum w:abstractNumId="3">
    <w:nsid w:val="8217ECD1"/>
    <w:multiLevelType w:val="singleLevel"/>
    <w:tmpl w:val="778F3539"/>
    <w:lvl w:ilvl="0">
      <w:start w:val="1"/>
      <w:numFmt w:val="bullet"/>
      <w:lvlText w:val="·"/>
      <w:lvlJc w:val="left"/>
      <w:rPr>
        <w:rFonts w:ascii="Times New Roman" w:hAnsi="Times New Roman" w:cs="Times New Roman"/>
      </w:rPr>
    </w:lvl>
  </w:abstractNum>
  <w:abstractNum w:abstractNumId="4">
    <w:nsid w:val="821DCBBE"/>
    <w:multiLevelType w:val="singleLevel"/>
    <w:tmpl w:val="32AFE999"/>
    <w:lvl w:ilvl="0">
      <w:start w:val="1"/>
      <w:numFmt w:val="bullet"/>
      <w:lvlText w:val="·"/>
      <w:lvlJc w:val="left"/>
      <w:rPr>
        <w:rFonts w:ascii="Times New Roman" w:hAnsi="Times New Roman" w:cs="Times New Roman"/>
      </w:rPr>
    </w:lvl>
  </w:abstractNum>
  <w:abstractNum w:abstractNumId="5">
    <w:nsid w:val="8223AAAB"/>
    <w:multiLevelType w:val="singleLevel"/>
    <w:tmpl w:val="EDD09DF9"/>
    <w:lvl w:ilvl="0">
      <w:start w:val="1"/>
      <w:numFmt w:val="bullet"/>
      <w:lvlText w:val="·"/>
      <w:lvlJc w:val="left"/>
      <w:rPr>
        <w:rFonts w:ascii="Times New Roman" w:hAnsi="Times New Roman" w:cs="Times New Roman"/>
      </w:rPr>
    </w:lvl>
  </w:abstractNum>
  <w:abstractNum w:abstractNumId="6">
    <w:nsid w:val="82298998"/>
    <w:multiLevelType w:val="singleLevel"/>
    <w:tmpl w:val="A8F15259"/>
    <w:lvl w:ilvl="0">
      <w:start w:val="1"/>
      <w:numFmt w:val="bullet"/>
      <w:lvlText w:val="·"/>
      <w:lvlJc w:val="left"/>
      <w:rPr>
        <w:rFonts w:ascii="Times New Roman" w:hAnsi="Times New Roman" w:cs="Times New Roman"/>
      </w:rPr>
    </w:lvl>
  </w:abstractNum>
  <w:abstractNum w:abstractNumId="7">
    <w:nsid w:val="82354772"/>
    <w:multiLevelType w:val="singleLevel"/>
    <w:tmpl w:val="1F32BB19"/>
    <w:lvl w:ilvl="0">
      <w:start w:val="1"/>
      <w:numFmt w:val="bullet"/>
      <w:lvlText w:val="·"/>
      <w:lvlJc w:val="left"/>
      <w:rPr>
        <w:rFonts w:ascii="Times New Roman" w:hAnsi="Times New Roman" w:cs="Times New Roman"/>
      </w:rPr>
    </w:lvl>
  </w:abstractNum>
  <w:abstractNum w:abstractNumId="8">
    <w:nsid w:val="823B265F"/>
    <w:multiLevelType w:val="singleLevel"/>
    <w:tmpl w:val="DA536F79"/>
    <w:lvl w:ilvl="0">
      <w:start w:val="1"/>
      <w:numFmt w:val="bullet"/>
      <w:lvlText w:val="·"/>
      <w:lvlJc w:val="left"/>
      <w:rPr>
        <w:rFonts w:ascii="Times New Roman" w:hAnsi="Times New Roman" w:cs="Times New Roman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03"/>
    <w:rsid w:val="0004497A"/>
    <w:rsid w:val="00084F30"/>
    <w:rsid w:val="000C56CB"/>
    <w:rsid w:val="000E3434"/>
    <w:rsid w:val="001830A1"/>
    <w:rsid w:val="00184F6F"/>
    <w:rsid w:val="00217EBA"/>
    <w:rsid w:val="00226A37"/>
    <w:rsid w:val="0023232C"/>
    <w:rsid w:val="0027073A"/>
    <w:rsid w:val="003A7262"/>
    <w:rsid w:val="003D0812"/>
    <w:rsid w:val="003F0ED2"/>
    <w:rsid w:val="00401B03"/>
    <w:rsid w:val="004166DF"/>
    <w:rsid w:val="00491A8F"/>
    <w:rsid w:val="00586720"/>
    <w:rsid w:val="00587D4B"/>
    <w:rsid w:val="005B11AB"/>
    <w:rsid w:val="005D31F9"/>
    <w:rsid w:val="005E7947"/>
    <w:rsid w:val="005F6ED1"/>
    <w:rsid w:val="00673646"/>
    <w:rsid w:val="007427E4"/>
    <w:rsid w:val="007A4579"/>
    <w:rsid w:val="007D5183"/>
    <w:rsid w:val="007F2EC2"/>
    <w:rsid w:val="00844125"/>
    <w:rsid w:val="00866AF3"/>
    <w:rsid w:val="0088311A"/>
    <w:rsid w:val="00950D4D"/>
    <w:rsid w:val="009C4F2D"/>
    <w:rsid w:val="009F2DE2"/>
    <w:rsid w:val="00A2271A"/>
    <w:rsid w:val="00A4711C"/>
    <w:rsid w:val="00A67C8C"/>
    <w:rsid w:val="00A776F9"/>
    <w:rsid w:val="00AD06B6"/>
    <w:rsid w:val="00C15213"/>
    <w:rsid w:val="00C67A59"/>
    <w:rsid w:val="00C875EC"/>
    <w:rsid w:val="00D71CF4"/>
    <w:rsid w:val="00E9012C"/>
    <w:rsid w:val="00EA7AE9"/>
    <w:rsid w:val="00EB6BB7"/>
    <w:rsid w:val="00F03095"/>
    <w:rsid w:val="00F07A15"/>
    <w:rsid w:val="00FE168C"/>
    <w:rsid w:val="00F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401B03"/>
    <w:rPr>
      <w:color w:val="0000FF"/>
      <w:u w:val="single"/>
    </w:rPr>
  </w:style>
  <w:style w:type="paragraph" w:styleId="En-tte">
    <w:name w:val="header"/>
    <w:basedOn w:val="Normal"/>
    <w:rsid w:val="005D31F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D31F9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866AF3"/>
    <w:rPr>
      <w:sz w:val="16"/>
      <w:szCs w:val="16"/>
    </w:rPr>
  </w:style>
  <w:style w:type="paragraph" w:styleId="Commentaire">
    <w:name w:val="annotation text"/>
    <w:basedOn w:val="Normal"/>
    <w:semiHidden/>
    <w:rsid w:val="00866AF3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66AF3"/>
    <w:rPr>
      <w:b/>
      <w:bCs/>
    </w:rPr>
  </w:style>
  <w:style w:type="paragraph" w:styleId="Textedebulles">
    <w:name w:val="Balloon Text"/>
    <w:basedOn w:val="Normal"/>
    <w:semiHidden/>
    <w:rsid w:val="00866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401B03"/>
    <w:rPr>
      <w:color w:val="0000FF"/>
      <w:u w:val="single"/>
    </w:rPr>
  </w:style>
  <w:style w:type="paragraph" w:styleId="En-tte">
    <w:name w:val="header"/>
    <w:basedOn w:val="Normal"/>
    <w:rsid w:val="005D31F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D31F9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866AF3"/>
    <w:rPr>
      <w:sz w:val="16"/>
      <w:szCs w:val="16"/>
    </w:rPr>
  </w:style>
  <w:style w:type="paragraph" w:styleId="Commentaire">
    <w:name w:val="annotation text"/>
    <w:basedOn w:val="Normal"/>
    <w:semiHidden/>
    <w:rsid w:val="00866AF3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66AF3"/>
    <w:rPr>
      <w:b/>
      <w:bCs/>
    </w:rPr>
  </w:style>
  <w:style w:type="paragraph" w:styleId="Textedebulles">
    <w:name w:val="Balloon Text"/>
    <w:basedOn w:val="Normal"/>
    <w:semiHidden/>
    <w:rsid w:val="00866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ca.direccte.gouv.fr/Hautes-Alpe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7A5F-5765-4B3A-B9DF-3F7582C1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d’hébergement collectif</vt:lpstr>
    </vt:vector>
  </TitlesOfParts>
  <Company>Ministères Chargés des Affaires Sociales</Company>
  <LinksUpToDate>false</LinksUpToDate>
  <CharactersWithSpaces>2222</CharactersWithSpaces>
  <SharedDoc>false</SharedDoc>
  <HLinks>
    <vt:vector size="6" baseType="variant">
      <vt:variant>
        <vt:i4>917505</vt:i4>
      </vt:variant>
      <vt:variant>
        <vt:i4>6</vt:i4>
      </vt:variant>
      <vt:variant>
        <vt:i4>0</vt:i4>
      </vt:variant>
      <vt:variant>
        <vt:i4>5</vt:i4>
      </vt:variant>
      <vt:variant>
        <vt:lpwstr>http://paca.direccte.gouv.fr/Hautes-Alpes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d’hébergement collectif</dc:title>
  <dc:subject/>
  <dc:creator>D2600</dc:creator>
  <cp:keywords/>
  <cp:lastModifiedBy>DEGROOTE Eric (UT005)</cp:lastModifiedBy>
  <cp:revision>2</cp:revision>
  <cp:lastPrinted>2013-03-14T08:41:00Z</cp:lastPrinted>
  <dcterms:created xsi:type="dcterms:W3CDTF">2018-07-17T09:56:00Z</dcterms:created>
  <dcterms:modified xsi:type="dcterms:W3CDTF">2018-07-17T09:56:00Z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